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both"/>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附件1：</w:t>
      </w:r>
    </w:p>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center"/>
        <w:textAlignment w:val="auto"/>
        <w:rPr>
          <w:rFonts w:hint="default" w:ascii="仿宋_GB2312" w:hAnsi="仿宋_GB2312" w:eastAsia="仿宋_GB2312" w:cs="仿宋_GB2312"/>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center"/>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诺水河至光雾山公路（米仓大道）交旅融合总体策划需求内容</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2175"/>
        <w:gridCol w:w="5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531" w:type="dxa"/>
            <w:noWrap w:val="0"/>
            <w:vAlign w:val="top"/>
          </w:tcPr>
          <w:p>
            <w:pPr>
              <w:suppressAutoHyphens/>
              <w:bidi w:val="0"/>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序号</w:t>
            </w:r>
          </w:p>
        </w:tc>
        <w:tc>
          <w:tcPr>
            <w:tcW w:w="2175" w:type="dxa"/>
            <w:noWrap w:val="0"/>
            <w:vAlign w:val="top"/>
          </w:tcPr>
          <w:p>
            <w:pPr>
              <w:suppressAutoHyphens/>
              <w:bidi w:val="0"/>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项目</w:t>
            </w:r>
          </w:p>
        </w:tc>
        <w:tc>
          <w:tcPr>
            <w:tcW w:w="5017" w:type="dxa"/>
            <w:noWrap w:val="0"/>
            <w:vAlign w:val="top"/>
          </w:tcPr>
          <w:p>
            <w:pPr>
              <w:suppressAutoHyphens/>
              <w:bidi w:val="0"/>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1</w:t>
            </w:r>
          </w:p>
        </w:tc>
        <w:tc>
          <w:tcPr>
            <w:tcW w:w="2175" w:type="dxa"/>
            <w:noWrap w:val="0"/>
            <w:vAlign w:val="center"/>
          </w:tcPr>
          <w:p>
            <w:pPr>
              <w:widowControl/>
              <w:suppressAutoHyphens/>
              <w:bidi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项目解读</w:t>
            </w:r>
          </w:p>
        </w:tc>
        <w:tc>
          <w:tcPr>
            <w:tcW w:w="5017" w:type="dxa"/>
            <w:noWrap w:val="0"/>
            <w:vAlign w:val="center"/>
          </w:tcPr>
          <w:p>
            <w:pPr>
              <w:widowControl/>
              <w:suppressAutoHyphens/>
              <w:bidi w:val="0"/>
              <w:jc w:val="left"/>
              <w:textAlignment w:val="center"/>
              <w:rPr>
                <w:rFonts w:hint="default" w:ascii="宋体" w:hAnsi="宋体" w:eastAsia="宋体" w:cs="宋体"/>
                <w:color w:val="000000"/>
                <w:kern w:val="0"/>
                <w:sz w:val="22"/>
                <w:szCs w:val="22"/>
                <w:lang w:val="en-US" w:bidi="ar"/>
              </w:rPr>
            </w:pPr>
            <w:r>
              <w:rPr>
                <w:rFonts w:hint="eastAsia" w:ascii="宋体" w:hAnsi="宋体" w:eastAsia="宋体" w:cs="宋体"/>
                <w:color w:val="000000"/>
                <w:kern w:val="0"/>
                <w:sz w:val="22"/>
                <w:szCs w:val="22"/>
                <w:lang w:val="en-US" w:eastAsia="zh-CN" w:bidi="ar"/>
              </w:rPr>
              <w:t>阐述米仓大道交旅融合发展的研究背景、对交旅融合市场分析以及对项目资源与交通现状进行调研分析，并进行综合分析评价。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2</w:t>
            </w:r>
          </w:p>
        </w:tc>
        <w:tc>
          <w:tcPr>
            <w:tcW w:w="2175" w:type="dxa"/>
            <w:vMerge w:val="restart"/>
            <w:noWrap w:val="0"/>
            <w:vAlign w:val="center"/>
          </w:tcPr>
          <w:p>
            <w:pPr>
              <w:widowControl/>
              <w:suppressAutoHyphens/>
              <w:bidi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项目愿景</w:t>
            </w: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分析</w:t>
            </w:r>
            <w:r>
              <w:rPr>
                <w:rFonts w:hint="eastAsia" w:ascii="宋体" w:hAnsi="宋体" w:eastAsia="宋体" w:cs="宋体"/>
                <w:color w:val="000000"/>
                <w:kern w:val="0"/>
                <w:sz w:val="22"/>
                <w:szCs w:val="22"/>
                <w:lang w:val="en-US" w:eastAsia="zh-CN" w:bidi="ar"/>
              </w:rPr>
              <w:t>四川省和巴中市</w:t>
            </w:r>
            <w:r>
              <w:rPr>
                <w:rFonts w:hint="eastAsia" w:ascii="宋体" w:hAnsi="宋体" w:eastAsia="宋体" w:cs="宋体"/>
                <w:color w:val="000000"/>
                <w:kern w:val="0"/>
                <w:sz w:val="22"/>
                <w:szCs w:val="22"/>
                <w:lang w:bidi="ar"/>
              </w:rPr>
              <w:t>国省干线公路未来阶段交通功能定位以及</w:t>
            </w:r>
            <w:r>
              <w:rPr>
                <w:rFonts w:hint="eastAsia" w:ascii="宋体" w:hAnsi="宋体" w:eastAsia="宋体" w:cs="宋体"/>
                <w:color w:val="000000"/>
                <w:kern w:val="0"/>
                <w:sz w:val="22"/>
                <w:szCs w:val="22"/>
                <w:lang w:val="en-US" w:eastAsia="zh-CN" w:bidi="ar"/>
              </w:rPr>
              <w:t>未来项目</w:t>
            </w:r>
            <w:r>
              <w:rPr>
                <w:rFonts w:hint="eastAsia" w:ascii="宋体" w:hAnsi="宋体" w:eastAsia="宋体" w:cs="宋体"/>
                <w:color w:val="000000"/>
                <w:kern w:val="0"/>
                <w:sz w:val="22"/>
                <w:szCs w:val="22"/>
                <w:lang w:bidi="ar"/>
              </w:rPr>
              <w:t>更好服务交旅融合发展的趋势。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2.1</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开展省外实地调研，挑选几个案例，总结全国普通国省干线公路支持交旅融合发展的情况、经验做法及存在问题。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2.2</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调研分析</w:t>
            </w:r>
            <w:r>
              <w:rPr>
                <w:rFonts w:hint="eastAsia" w:ascii="宋体" w:hAnsi="宋体" w:eastAsia="宋体" w:cs="宋体"/>
                <w:color w:val="000000"/>
                <w:kern w:val="0"/>
                <w:sz w:val="22"/>
                <w:szCs w:val="22"/>
                <w:lang w:val="en-US" w:eastAsia="zh-CN" w:bidi="ar"/>
              </w:rPr>
              <w:t>米仓大道交旅融合发展策略并分析</w:t>
            </w:r>
            <w:r>
              <w:rPr>
                <w:rFonts w:hint="eastAsia" w:ascii="宋体" w:hAnsi="宋体" w:eastAsia="宋体" w:cs="宋体"/>
                <w:color w:val="000000"/>
                <w:kern w:val="0"/>
                <w:sz w:val="22"/>
                <w:szCs w:val="22"/>
                <w:lang w:bidi="ar"/>
              </w:rPr>
              <w:t>普通国省干线公路支持地方旅游发展遇到的主要问题及原因。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2.3</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结合国家及省政府依托公路网大力发展路域经济的总体要求，以及我省经济产业结构特点和全域旅游发展的趋势，合理确定</w:t>
            </w:r>
            <w:r>
              <w:rPr>
                <w:rFonts w:hint="eastAsia" w:ascii="宋体" w:hAnsi="宋体" w:eastAsia="宋体" w:cs="宋体"/>
                <w:color w:val="000000"/>
                <w:kern w:val="0"/>
                <w:sz w:val="22"/>
                <w:szCs w:val="22"/>
                <w:lang w:val="en-US" w:eastAsia="zh-CN" w:bidi="ar"/>
              </w:rPr>
              <w:t>米仓大道项目</w:t>
            </w:r>
            <w:r>
              <w:rPr>
                <w:rFonts w:hint="eastAsia" w:ascii="宋体" w:hAnsi="宋体" w:eastAsia="宋体" w:cs="宋体"/>
                <w:color w:val="000000"/>
                <w:kern w:val="0"/>
                <w:sz w:val="22"/>
                <w:szCs w:val="22"/>
                <w:lang w:bidi="ar"/>
              </w:rPr>
              <w:t>交旅融合的功能定位。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val="en" w:eastAsia="zh-CN" w:bidi="ar"/>
              </w:rPr>
            </w:pPr>
            <w:r>
              <w:rPr>
                <w:rFonts w:ascii="宋体" w:hAnsi="宋体" w:eastAsia="宋体" w:cs="宋体"/>
                <w:color w:val="000000"/>
                <w:kern w:val="0"/>
                <w:sz w:val="22"/>
                <w:szCs w:val="22"/>
                <w:lang w:val="en" w:bidi="ar"/>
              </w:rPr>
              <w:t>2.</w:t>
            </w:r>
            <w:r>
              <w:rPr>
                <w:rFonts w:hint="eastAsia" w:ascii="宋体" w:hAnsi="宋体" w:eastAsia="宋体" w:cs="宋体"/>
                <w:color w:val="000000"/>
                <w:kern w:val="0"/>
                <w:sz w:val="22"/>
                <w:szCs w:val="22"/>
                <w:lang w:val="en-US" w:eastAsia="zh-CN" w:bidi="ar"/>
              </w:rPr>
              <w:t>4</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ascii="宋体" w:hAnsi="宋体" w:eastAsia="宋体" w:cs="宋体"/>
                <w:color w:val="000000"/>
                <w:kern w:val="0"/>
                <w:sz w:val="22"/>
                <w:szCs w:val="22"/>
                <w:lang w:val="en" w:bidi="ar"/>
              </w:rPr>
            </w:pPr>
            <w:r>
              <w:rPr>
                <w:rFonts w:hint="eastAsia" w:ascii="宋体" w:hAnsi="宋体" w:eastAsia="宋体" w:cs="宋体"/>
                <w:color w:val="000000"/>
                <w:kern w:val="0"/>
                <w:sz w:val="22"/>
                <w:szCs w:val="22"/>
                <w:lang w:bidi="ar"/>
              </w:rPr>
              <w:t>根据调研情况和案例分析，召开研讨会，推动交旅融合</w:t>
            </w:r>
            <w:r>
              <w:rPr>
                <w:rFonts w:hint="eastAsia" w:ascii="宋体" w:hAnsi="宋体" w:eastAsia="宋体" w:cs="宋体"/>
                <w:color w:val="000000"/>
                <w:kern w:val="0"/>
                <w:sz w:val="22"/>
                <w:szCs w:val="22"/>
                <w:lang w:val="en-US" w:eastAsia="zh-CN" w:bidi="ar"/>
              </w:rPr>
              <w:t>策划方案落地实施</w:t>
            </w:r>
            <w:r>
              <w:rPr>
                <w:rFonts w:hint="eastAsia" w:ascii="宋体" w:hAnsi="宋体" w:eastAsia="宋体" w:cs="宋体"/>
                <w:color w:val="000000"/>
                <w:kern w:val="0"/>
                <w:sz w:val="22"/>
                <w:szCs w:val="22"/>
                <w:lang w:val="e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3</w:t>
            </w:r>
          </w:p>
        </w:tc>
        <w:tc>
          <w:tcPr>
            <w:tcW w:w="2175" w:type="dxa"/>
            <w:vMerge w:val="restart"/>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val="en-US" w:eastAsia="zh-CN" w:bidi="ar"/>
              </w:rPr>
              <w:t>交旅融合</w:t>
            </w:r>
          </w:p>
        </w:tc>
        <w:tc>
          <w:tcPr>
            <w:tcW w:w="5017" w:type="dxa"/>
            <w:noWrap w:val="0"/>
            <w:vAlign w:val="center"/>
          </w:tcPr>
          <w:p>
            <w:pPr>
              <w:widowControl/>
              <w:suppressAutoHyphens/>
              <w:bidi w:val="0"/>
              <w:jc w:val="left"/>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分析并构建米仓大道交旅体系，明确项目设计思路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3.1</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全方位对米仓大道交旅专项进行布设构建，从服务设施、生态康养道、隧道、边坡绿化、低碳运营、智慧交通、标识标牌等方面对米仓大道策划布局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3.2</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结合</w:t>
            </w:r>
            <w:r>
              <w:rPr>
                <w:rFonts w:hint="eastAsia" w:ascii="宋体" w:hAnsi="宋体" w:eastAsia="宋体" w:cs="宋体"/>
                <w:color w:val="000000"/>
                <w:kern w:val="0"/>
                <w:sz w:val="22"/>
                <w:szCs w:val="22"/>
                <w:lang w:val="en-US" w:eastAsia="zh-CN" w:bidi="ar"/>
              </w:rPr>
              <w:t>地方</w:t>
            </w:r>
            <w:r>
              <w:rPr>
                <w:rFonts w:hint="eastAsia" w:ascii="宋体" w:hAnsi="宋体" w:eastAsia="宋体" w:cs="宋体"/>
                <w:color w:val="000000"/>
                <w:kern w:val="0"/>
                <w:sz w:val="22"/>
                <w:szCs w:val="22"/>
                <w:lang w:bidi="ar"/>
              </w:rPr>
              <w:t>交旅融合发展现状及需求，提出适度超前、合理可行的发展目标。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3.3</w:t>
            </w:r>
          </w:p>
        </w:tc>
        <w:tc>
          <w:tcPr>
            <w:tcW w:w="2175" w:type="dxa"/>
            <w:vMerge w:val="continue"/>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cs="宋体"/>
                <w:color w:val="000000"/>
                <w:kern w:val="0"/>
                <w:sz w:val="22"/>
                <w:szCs w:val="22"/>
                <w:lang w:bidi="ar"/>
              </w:rPr>
              <w:t>介绍国内普通国省干线公路支持交旅融合发展案例情况并总结经验启示，提出</w:t>
            </w:r>
            <w:r>
              <w:rPr>
                <w:rFonts w:hint="eastAsia" w:ascii="宋体" w:hAnsi="宋体" w:cs="宋体"/>
                <w:color w:val="000000"/>
                <w:kern w:val="0"/>
                <w:sz w:val="22"/>
                <w:szCs w:val="22"/>
                <w:lang w:val="en-US" w:eastAsia="zh-CN" w:bidi="ar"/>
              </w:rPr>
              <w:t>项目交旅融合发展</w:t>
            </w:r>
            <w:r>
              <w:rPr>
                <w:rFonts w:hint="eastAsia" w:ascii="宋体" w:hAnsi="宋体" w:cs="宋体"/>
                <w:color w:val="000000"/>
                <w:kern w:val="0"/>
                <w:sz w:val="22"/>
                <w:szCs w:val="22"/>
                <w:lang w:bidi="ar"/>
              </w:rPr>
              <w:t>政策建议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val="en" w:eastAsia="zh-CN" w:bidi="ar"/>
              </w:rPr>
            </w:pPr>
            <w:r>
              <w:rPr>
                <w:rFonts w:hint="eastAsia" w:ascii="宋体" w:hAnsi="宋体" w:eastAsia="宋体" w:cs="宋体"/>
                <w:color w:val="000000"/>
                <w:kern w:val="0"/>
                <w:sz w:val="22"/>
                <w:szCs w:val="22"/>
                <w:lang w:val="en-US" w:eastAsia="zh-CN" w:bidi="ar"/>
              </w:rPr>
              <w:t>4</w:t>
            </w:r>
          </w:p>
        </w:tc>
        <w:tc>
          <w:tcPr>
            <w:tcW w:w="2175" w:type="dxa"/>
            <w:noWrap w:val="0"/>
            <w:vAlign w:val="center"/>
          </w:tcPr>
          <w:p>
            <w:pPr>
              <w:widowControl/>
              <w:suppressAutoHyphens/>
              <w:bidi w:val="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专家评审会承办</w:t>
            </w:r>
          </w:p>
        </w:tc>
        <w:tc>
          <w:tcPr>
            <w:tcW w:w="5017" w:type="dxa"/>
            <w:noWrap w:val="0"/>
            <w:vAlign w:val="center"/>
          </w:tcPr>
          <w:p>
            <w:pPr>
              <w:widowControl/>
              <w:suppressAutoHyphens/>
              <w:bidi w:val="0"/>
              <w:jc w:val="left"/>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负责承办专家评审会有关事宜。</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center"/>
        <w:textAlignment w:val="auto"/>
        <w:rPr>
          <w:rFonts w:hint="default" w:ascii="仿宋_GB2312" w:hAnsi="仿宋_GB2312" w:eastAsia="仿宋_GB2312" w:cs="仿宋_GB2312"/>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center"/>
        <w:textAlignment w:val="auto"/>
        <w:rPr>
          <w:rFonts w:hint="default" w:ascii="仿宋_GB2312" w:hAnsi="仿宋_GB2312" w:eastAsia="仿宋_GB2312" w:cs="仿宋_GB2312"/>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182" w:line="320" w:lineRule="exact"/>
        <w:ind w:right="145" w:rightChars="0"/>
        <w:jc w:val="center"/>
        <w:textAlignment w:val="auto"/>
        <w:rPr>
          <w:rFonts w:hint="default" w:ascii="仿宋_GB2312" w:hAnsi="仿宋_GB2312" w:eastAsia="仿宋_GB2312" w:cs="仿宋_GB2312"/>
          <w:b w:val="0"/>
          <w:bCs w:val="0"/>
          <w:kern w:val="2"/>
          <w:sz w:val="32"/>
          <w:szCs w:val="32"/>
          <w:lang w:val="en-US" w:eastAsia="zh-CN"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2MjE0MWYzZGJiODMzOWYyNDU3NzU0OWJlMjY3ZGUifQ=="/>
  </w:docVars>
  <w:rsids>
    <w:rsidRoot w:val="30815CE6"/>
    <w:rsid w:val="00A10600"/>
    <w:rsid w:val="02D93400"/>
    <w:rsid w:val="02E029CA"/>
    <w:rsid w:val="04234F72"/>
    <w:rsid w:val="042810BF"/>
    <w:rsid w:val="058914F4"/>
    <w:rsid w:val="069D0B0B"/>
    <w:rsid w:val="07700B40"/>
    <w:rsid w:val="082316CF"/>
    <w:rsid w:val="084C4B1C"/>
    <w:rsid w:val="096E544B"/>
    <w:rsid w:val="09C13AAB"/>
    <w:rsid w:val="0B952C8C"/>
    <w:rsid w:val="0D4E60D1"/>
    <w:rsid w:val="0D7D5691"/>
    <w:rsid w:val="151B711A"/>
    <w:rsid w:val="195D3F68"/>
    <w:rsid w:val="1D91490E"/>
    <w:rsid w:val="1F387D5C"/>
    <w:rsid w:val="20256BB7"/>
    <w:rsid w:val="2088206A"/>
    <w:rsid w:val="237E02F5"/>
    <w:rsid w:val="239877EB"/>
    <w:rsid w:val="23B5612A"/>
    <w:rsid w:val="25135060"/>
    <w:rsid w:val="281411DF"/>
    <w:rsid w:val="287D78C5"/>
    <w:rsid w:val="297D7264"/>
    <w:rsid w:val="2A1D7B90"/>
    <w:rsid w:val="2A4015FA"/>
    <w:rsid w:val="2B4E7C21"/>
    <w:rsid w:val="2C32423B"/>
    <w:rsid w:val="2C5F28C1"/>
    <w:rsid w:val="30815CE6"/>
    <w:rsid w:val="31DE362E"/>
    <w:rsid w:val="342B4725"/>
    <w:rsid w:val="34952A32"/>
    <w:rsid w:val="35D40D96"/>
    <w:rsid w:val="3746351D"/>
    <w:rsid w:val="39E129AB"/>
    <w:rsid w:val="3CE92C4F"/>
    <w:rsid w:val="3D7C798C"/>
    <w:rsid w:val="3D82339D"/>
    <w:rsid w:val="3E95735E"/>
    <w:rsid w:val="412304D4"/>
    <w:rsid w:val="4217188B"/>
    <w:rsid w:val="4494547A"/>
    <w:rsid w:val="44DC3A4F"/>
    <w:rsid w:val="44EE0163"/>
    <w:rsid w:val="455B123A"/>
    <w:rsid w:val="45A9480A"/>
    <w:rsid w:val="478F1B0D"/>
    <w:rsid w:val="481A733B"/>
    <w:rsid w:val="49BF2191"/>
    <w:rsid w:val="4A2E1C00"/>
    <w:rsid w:val="4B834E78"/>
    <w:rsid w:val="4C2753EE"/>
    <w:rsid w:val="4C445AFA"/>
    <w:rsid w:val="4CAE4D0B"/>
    <w:rsid w:val="4DED1B24"/>
    <w:rsid w:val="4E4D41C6"/>
    <w:rsid w:val="50C8679D"/>
    <w:rsid w:val="50FF474D"/>
    <w:rsid w:val="51642679"/>
    <w:rsid w:val="5255718C"/>
    <w:rsid w:val="525E2FF2"/>
    <w:rsid w:val="52CB0C6F"/>
    <w:rsid w:val="55C27C8D"/>
    <w:rsid w:val="58DB2C7B"/>
    <w:rsid w:val="5979171B"/>
    <w:rsid w:val="5B567656"/>
    <w:rsid w:val="5BDF4086"/>
    <w:rsid w:val="5D22699A"/>
    <w:rsid w:val="5DE730F2"/>
    <w:rsid w:val="5E89631B"/>
    <w:rsid w:val="61117617"/>
    <w:rsid w:val="619B532A"/>
    <w:rsid w:val="619E3EA2"/>
    <w:rsid w:val="623A75B6"/>
    <w:rsid w:val="64427FD6"/>
    <w:rsid w:val="67343857"/>
    <w:rsid w:val="680D40B3"/>
    <w:rsid w:val="69AF2D0C"/>
    <w:rsid w:val="6B973454"/>
    <w:rsid w:val="70E24C05"/>
    <w:rsid w:val="714947A2"/>
    <w:rsid w:val="750345E7"/>
    <w:rsid w:val="75BA1259"/>
    <w:rsid w:val="77577D8D"/>
    <w:rsid w:val="79A66FC1"/>
    <w:rsid w:val="79DC555A"/>
    <w:rsid w:val="7A527256"/>
    <w:rsid w:val="7BC6597C"/>
    <w:rsid w:val="7C194326"/>
    <w:rsid w:val="7CE248B1"/>
    <w:rsid w:val="7E241E10"/>
    <w:rsid w:val="7E91365E"/>
    <w:rsid w:val="7ED45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2024-05-14T09:43:00Z</dcterms:created>
  <dc:creator>王思琦</dc:creator>
  <cp:lastModifiedBy>王思琦</cp:lastModifiedBy>
  <dcterms:modified xsi:type="dcterms:W3CDTF">2024-05-14T09:44:10Z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78D759F9F17E4B8A841C93FA4AD8661D_11</vt:lpwstr>
  </property>
</Properties>
</file>